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8FC7A" w14:textId="3F5878B2" w:rsidR="00244206" w:rsidRPr="0093454C" w:rsidRDefault="00244206" w:rsidP="00C93588">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6C4409">
        <w:rPr>
          <w:b/>
          <w:noProof/>
          <w:sz w:val="24"/>
        </w:rPr>
        <w:t>5</w:t>
      </w:r>
      <w:r w:rsidR="002A6215">
        <w:rPr>
          <w:b/>
          <w:noProof/>
          <w:sz w:val="24"/>
        </w:rPr>
        <w:t>bis</w:t>
      </w:r>
      <w:r w:rsidRPr="0093454C">
        <w:rPr>
          <w:b/>
          <w:noProof/>
          <w:sz w:val="24"/>
        </w:rPr>
        <w:tab/>
      </w:r>
      <w:bookmarkStart w:id="1" w:name="OLE_LINK417"/>
      <w:bookmarkStart w:id="2" w:name="OLE_LINK418"/>
      <w:r w:rsidR="00EE6985" w:rsidRPr="00EE6985">
        <w:rPr>
          <w:b/>
          <w:noProof/>
          <w:sz w:val="24"/>
        </w:rPr>
        <w:t>R2-2403105</w:t>
      </w:r>
    </w:p>
    <w:bookmarkEnd w:id="1"/>
    <w:bookmarkEnd w:id="2"/>
    <w:p w14:paraId="3DEA82A0" w14:textId="75359C6D" w:rsidR="001A6150" w:rsidRPr="0062079E" w:rsidRDefault="002A6215" w:rsidP="00557F1D">
      <w:pPr>
        <w:pStyle w:val="Header"/>
        <w:spacing w:after="100" w:afterAutospacing="1"/>
        <w:rPr>
          <w:rFonts w:eastAsia="MS Mincho"/>
          <w:sz w:val="24"/>
          <w:lang w:val="fr-CA"/>
        </w:rPr>
      </w:pPr>
      <w:r>
        <w:rPr>
          <w:rFonts w:eastAsia="MS Mincho"/>
          <w:sz w:val="24"/>
          <w:lang w:val="fr-CA"/>
        </w:rPr>
        <w:t>Changsha</w:t>
      </w:r>
      <w:r w:rsidR="006C4409">
        <w:rPr>
          <w:rFonts w:eastAsia="MS Mincho"/>
          <w:sz w:val="24"/>
          <w:lang w:val="fr-CA"/>
        </w:rPr>
        <w:t xml:space="preserve">, </w:t>
      </w:r>
      <w:r>
        <w:rPr>
          <w:rFonts w:eastAsia="MS Mincho"/>
          <w:sz w:val="24"/>
          <w:lang w:val="fr-CA"/>
        </w:rPr>
        <w:t>China</w:t>
      </w:r>
      <w:r w:rsidR="003902B2" w:rsidRPr="0062079E">
        <w:rPr>
          <w:rFonts w:eastAsia="MS Mincho"/>
          <w:sz w:val="24"/>
          <w:lang w:val="fr-CA"/>
        </w:rPr>
        <w:t xml:space="preserve">, </w:t>
      </w:r>
      <w:r w:rsidR="0096055E">
        <w:rPr>
          <w:rFonts w:eastAsia="MS Mincho"/>
          <w:sz w:val="24"/>
          <w:lang w:val="fr-CA"/>
        </w:rPr>
        <w:t>15</w:t>
      </w:r>
      <w:r w:rsidR="00BF56BD" w:rsidRPr="00BF56BD">
        <w:rPr>
          <w:rFonts w:eastAsia="MS Mincho"/>
          <w:sz w:val="24"/>
          <w:vertAlign w:val="superscript"/>
          <w:lang w:val="fr-CA"/>
        </w:rPr>
        <w:t>th</w:t>
      </w:r>
      <w:r w:rsidR="00557F1D">
        <w:rPr>
          <w:rFonts w:eastAsia="MS Mincho"/>
          <w:sz w:val="24"/>
          <w:vertAlign w:val="superscript"/>
          <w:lang w:val="fr-CA"/>
        </w:rPr>
        <w:t xml:space="preserve"> </w:t>
      </w:r>
      <w:r w:rsidR="00BF56BD">
        <w:rPr>
          <w:rFonts w:eastAsia="MS Mincho"/>
          <w:sz w:val="24"/>
          <w:lang w:val="fr-CA"/>
        </w:rPr>
        <w:t>–</w:t>
      </w:r>
      <w:r w:rsidR="00132054">
        <w:rPr>
          <w:rFonts w:eastAsia="MS Mincho"/>
          <w:sz w:val="24"/>
          <w:lang w:val="fr-CA"/>
        </w:rPr>
        <w:t xml:space="preserve"> </w:t>
      </w:r>
      <w:r w:rsidR="0096055E">
        <w:rPr>
          <w:rFonts w:eastAsia="MS Mincho"/>
          <w:sz w:val="24"/>
          <w:lang w:val="fr-CA"/>
        </w:rPr>
        <w:t>19</w:t>
      </w:r>
      <w:r w:rsidR="0096055E">
        <w:rPr>
          <w:rFonts w:eastAsia="MS Mincho"/>
          <w:sz w:val="24"/>
          <w:vertAlign w:val="superscript"/>
          <w:lang w:val="fr-CA"/>
        </w:rPr>
        <w:t>th</w:t>
      </w:r>
      <w:r w:rsidR="00BF56BD">
        <w:rPr>
          <w:rFonts w:eastAsia="MS Mincho"/>
          <w:sz w:val="24"/>
          <w:lang w:val="fr-CA"/>
        </w:rPr>
        <w:t xml:space="preserve"> </w:t>
      </w:r>
      <w:r w:rsidR="0096055E">
        <w:rPr>
          <w:rFonts w:eastAsia="MS Mincho"/>
          <w:sz w:val="24"/>
          <w:lang w:val="fr-CA"/>
        </w:rPr>
        <w:t>Apr</w:t>
      </w:r>
      <w:r w:rsidR="006622D0">
        <w:rPr>
          <w:rFonts w:eastAsia="MS Mincho"/>
          <w:sz w:val="24"/>
          <w:lang w:val="fr-CA"/>
        </w:rPr>
        <w:t>il</w:t>
      </w:r>
      <w:r w:rsidR="006A417B" w:rsidRPr="0062079E">
        <w:rPr>
          <w:rFonts w:eastAsia="MS Mincho"/>
          <w:sz w:val="24"/>
          <w:lang w:val="fr-CA"/>
        </w:rPr>
        <w:t>, 202</w:t>
      </w:r>
      <w:r w:rsidR="00665391">
        <w:rPr>
          <w:rFonts w:eastAsia="MS Mincho"/>
          <w:sz w:val="24"/>
          <w:lang w:val="fr-CA"/>
        </w:rPr>
        <w:t>4</w:t>
      </w:r>
    </w:p>
    <w:p w14:paraId="68A217B4" w14:textId="77777777" w:rsidR="00505E15" w:rsidRPr="0062079E" w:rsidRDefault="007B4780" w:rsidP="00C93588">
      <w:pPr>
        <w:pStyle w:val="Header"/>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1004304B"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00F64697">
        <w:rPr>
          <w:rFonts w:ascii="Arial" w:hAnsi="Arial"/>
          <w:b/>
          <w:sz w:val="24"/>
          <w:lang w:val="fr-CA"/>
        </w:rPr>
        <w:t> </w:t>
      </w:r>
      <w:r w:rsidRPr="0062079E">
        <w:rPr>
          <w:rFonts w:ascii="Arial" w:hAnsi="Arial"/>
          <w:b/>
          <w:sz w:val="24"/>
          <w:lang w:val="fr-CA"/>
        </w:rPr>
        <w:t>:</w:t>
      </w:r>
      <w:r w:rsidRPr="0062079E">
        <w:rPr>
          <w:rFonts w:ascii="Arial" w:hAnsi="Arial"/>
          <w:b/>
          <w:sz w:val="24"/>
          <w:lang w:val="fr-CA"/>
        </w:rPr>
        <w:tab/>
      </w:r>
      <w:r w:rsidR="00713962" w:rsidRPr="00713962">
        <w:rPr>
          <w:rFonts w:ascii="Arial" w:hAnsi="Arial"/>
          <w:b/>
          <w:sz w:val="24"/>
          <w:lang w:val="fr-CA"/>
        </w:rPr>
        <w:t>7.24.2.1</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73640E56"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713962" w:rsidRPr="00713962">
        <w:rPr>
          <w:rFonts w:ascii="Arial" w:hAnsi="Arial"/>
          <w:b/>
          <w:sz w:val="24"/>
        </w:rPr>
        <w:t>Emergency call support for 2Rx XR UE</w:t>
      </w:r>
    </w:p>
    <w:p w14:paraId="004D7453" w14:textId="4C5467C4" w:rsidR="00505E15"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p w14:paraId="5D1D96C7" w14:textId="77777777" w:rsidR="00D12C29" w:rsidRPr="00C06C0E" w:rsidRDefault="00D12C29" w:rsidP="00C93588">
      <w:pPr>
        <w:tabs>
          <w:tab w:val="left" w:pos="1985"/>
        </w:tabs>
        <w:spacing w:after="100" w:afterAutospacing="1"/>
        <w:jc w:val="both"/>
        <w:rPr>
          <w:rFonts w:ascii="Arial" w:hAnsi="Arial"/>
          <w:b/>
          <w:sz w:val="24"/>
        </w:rPr>
      </w:pPr>
    </w:p>
    <w:bookmarkEnd w:id="0"/>
    <w:p w14:paraId="36744083" w14:textId="0C42961A" w:rsidR="004234EA" w:rsidRPr="00224CEF" w:rsidRDefault="00D12C29" w:rsidP="00D12C29">
      <w:pPr>
        <w:pStyle w:val="Heading1"/>
        <w:spacing w:before="100" w:beforeAutospacing="1" w:after="100" w:afterAutospacing="1"/>
        <w:ind w:left="0" w:firstLine="0"/>
        <w:jc w:val="both"/>
        <w:rPr>
          <w:rFonts w:cs="Arial"/>
        </w:rPr>
      </w:pPr>
      <w:r>
        <w:t xml:space="preserve">1 </w:t>
      </w:r>
      <w:r w:rsidR="004234EA" w:rsidRPr="00D12C29">
        <w:t>Introduction</w:t>
      </w:r>
    </w:p>
    <w:p w14:paraId="5545EAC2" w14:textId="71AC14F7" w:rsidR="00DA0DC5" w:rsidRDefault="00384A46" w:rsidP="00C045EA">
      <w:pPr>
        <w:spacing w:before="100" w:beforeAutospacing="1" w:after="100" w:afterAutospacing="1"/>
        <w:jc w:val="both"/>
        <w:rPr>
          <w:color w:val="000000"/>
        </w:rPr>
      </w:pPr>
      <w:r>
        <w:rPr>
          <w:color w:val="000000"/>
        </w:rPr>
        <w:t xml:space="preserve">During </w:t>
      </w:r>
      <w:r w:rsidR="000D3A27">
        <w:rPr>
          <w:color w:val="000000"/>
        </w:rPr>
        <w:t>RAN2#125 meeting, it was agreed to introduce a support for 2Rx XR U</w:t>
      </w:r>
      <w:r w:rsidR="00400612">
        <w:rPr>
          <w:color w:val="000000"/>
        </w:rPr>
        <w:t>E</w:t>
      </w:r>
      <w:r w:rsidR="000D3A27">
        <w:rPr>
          <w:color w:val="000000"/>
        </w:rPr>
        <w:t>s. During RAN#103 meeting, the related CRs were approved as follows [1]:</w:t>
      </w:r>
    </w:p>
    <w:tbl>
      <w:tblPr>
        <w:tblStyle w:val="TableGrid"/>
        <w:tblW w:w="0" w:type="auto"/>
        <w:tblLook w:val="04A0" w:firstRow="1" w:lastRow="0" w:firstColumn="1" w:lastColumn="0" w:noHBand="0" w:noVBand="1"/>
      </w:tblPr>
      <w:tblGrid>
        <w:gridCol w:w="9629"/>
      </w:tblGrid>
      <w:tr w:rsidR="000D3A27" w14:paraId="3C5884E3" w14:textId="77777777" w:rsidTr="000D3A27">
        <w:tc>
          <w:tcPr>
            <w:tcW w:w="9629" w:type="dxa"/>
          </w:tcPr>
          <w:p w14:paraId="482A27B5" w14:textId="77777777" w:rsidR="000D3A27" w:rsidRPr="000D3A27" w:rsidRDefault="000D3A27" w:rsidP="000D3A27">
            <w:pPr>
              <w:overflowPunct/>
              <w:autoSpaceDE/>
              <w:autoSpaceDN/>
              <w:adjustRightInd/>
              <w:spacing w:after="160" w:line="259" w:lineRule="auto"/>
              <w:textAlignment w:val="auto"/>
              <w:rPr>
                <w:rFonts w:ascii="Calibri" w:eastAsia="Calibri" w:hAnsi="Calibri"/>
                <w:sz w:val="22"/>
                <w:szCs w:val="22"/>
                <w:u w:val="single"/>
                <w:lang w:val="en-US" w:eastAsia="en-US"/>
              </w:rPr>
            </w:pPr>
            <w:r w:rsidRPr="000D3A27">
              <w:rPr>
                <w:rFonts w:ascii="Calibri" w:eastAsia="Calibri" w:hAnsi="Calibri"/>
                <w:sz w:val="22"/>
                <w:szCs w:val="22"/>
                <w:u w:val="single"/>
                <w:lang w:val="en-US" w:eastAsia="en-US"/>
              </w:rPr>
              <w:t>Approve RAN2 CR:</w:t>
            </w:r>
          </w:p>
          <w:p w14:paraId="144233F5" w14:textId="77777777" w:rsidR="000D3A27" w:rsidRPr="000D3A27" w:rsidRDefault="000D3A27" w:rsidP="000D3A27">
            <w:pPr>
              <w:numPr>
                <w:ilvl w:val="0"/>
                <w:numId w:val="38"/>
              </w:numPr>
              <w:overflowPunct/>
              <w:autoSpaceDE/>
              <w:autoSpaceDN/>
              <w:adjustRightInd/>
              <w:spacing w:after="160" w:line="259" w:lineRule="auto"/>
              <w:contextualSpacing/>
              <w:textAlignment w:val="auto"/>
              <w:rPr>
                <w:rFonts w:ascii="Calibri" w:eastAsia="Calibri" w:hAnsi="Calibri"/>
                <w:sz w:val="22"/>
                <w:szCs w:val="22"/>
                <w:lang w:val="en-US" w:eastAsia="en-US"/>
              </w:rPr>
            </w:pPr>
            <w:r w:rsidRPr="000D3A27">
              <w:rPr>
                <w:rFonts w:ascii="Calibri" w:eastAsia="Calibri" w:hAnsi="Calibri"/>
                <w:sz w:val="22"/>
                <w:szCs w:val="22"/>
                <w:lang w:val="en-US" w:eastAsia="en-US"/>
              </w:rPr>
              <w:t>From CR pack in RP-240707 approve CRs to TS 38.300, 38.304, 38.331</w:t>
            </w:r>
          </w:p>
          <w:p w14:paraId="0CF8B586" w14:textId="2C358F1D" w:rsidR="000D3A27" w:rsidRPr="000D3A27" w:rsidRDefault="000D3A27" w:rsidP="000D3A27">
            <w:pPr>
              <w:numPr>
                <w:ilvl w:val="0"/>
                <w:numId w:val="38"/>
              </w:numPr>
              <w:overflowPunct/>
              <w:autoSpaceDE/>
              <w:autoSpaceDN/>
              <w:adjustRightInd/>
              <w:spacing w:after="160" w:line="259" w:lineRule="auto"/>
              <w:contextualSpacing/>
              <w:textAlignment w:val="auto"/>
              <w:rPr>
                <w:rFonts w:ascii="Calibri" w:eastAsia="Calibri" w:hAnsi="Calibri"/>
                <w:i/>
                <w:iCs/>
                <w:sz w:val="22"/>
                <w:szCs w:val="22"/>
                <w:lang w:val="en-US" w:eastAsia="en-US"/>
              </w:rPr>
            </w:pPr>
            <w:r w:rsidRPr="000D3A27">
              <w:rPr>
                <w:rFonts w:ascii="Calibri" w:eastAsia="Calibri" w:hAnsi="Calibri"/>
                <w:sz w:val="22"/>
                <w:szCs w:val="22"/>
                <w:lang w:val="en-US" w:eastAsia="en-US"/>
              </w:rPr>
              <w:t xml:space="preserve">Approve RP-240849 that is a revised CR to TS 38.306 </w:t>
            </w:r>
            <w:r w:rsidRPr="000D3A27">
              <w:rPr>
                <w:rFonts w:ascii="Calibri" w:eastAsia="Calibri" w:hAnsi="Calibri"/>
                <w:sz w:val="22"/>
                <w:szCs w:val="22"/>
                <w:lang w:val="en-US" w:eastAsia="en-US"/>
              </w:rPr>
              <w:br/>
            </w:r>
            <w:r w:rsidRPr="000D3A27">
              <w:rPr>
                <w:rFonts w:ascii="Calibri" w:eastAsia="Calibri" w:hAnsi="Calibri"/>
                <w:i/>
                <w:iCs/>
                <w:sz w:val="22"/>
                <w:szCs w:val="22"/>
                <w:lang w:val="en-US" w:eastAsia="en-US"/>
              </w:rPr>
              <w:t>Note: the only revision is to add a reference to the relevant RAN4 REFSENS relaxation Table 7.3.2-3</w:t>
            </w:r>
          </w:p>
        </w:tc>
      </w:tr>
    </w:tbl>
    <w:p w14:paraId="18BE12B8" w14:textId="68C8B078" w:rsidR="000D3A27" w:rsidRDefault="000D3A27" w:rsidP="00C045EA">
      <w:pPr>
        <w:spacing w:before="100" w:beforeAutospacing="1" w:after="100" w:afterAutospacing="1"/>
        <w:jc w:val="both"/>
        <w:rPr>
          <w:color w:val="000000"/>
        </w:rPr>
      </w:pPr>
      <w:r>
        <w:rPr>
          <w:color w:val="000000"/>
        </w:rPr>
        <w:t>One issue that remains to be solved for this topic in RAN2 is to address the following FFS:</w:t>
      </w:r>
    </w:p>
    <w:p w14:paraId="15138413" w14:textId="77777777" w:rsidR="00DA0DC5" w:rsidRPr="00C9250C" w:rsidRDefault="00DA0DC5" w:rsidP="00DA0DC5">
      <w:pPr>
        <w:pStyle w:val="Doc-text2"/>
      </w:pPr>
      <w:r>
        <w:t>=&gt;</w:t>
      </w:r>
      <w:r>
        <w:tab/>
        <w:t xml:space="preserve">FFS if emergency services will be supported   </w:t>
      </w:r>
    </w:p>
    <w:p w14:paraId="5753D3E0" w14:textId="2AF269DB" w:rsidR="0041681B" w:rsidRDefault="000D3A27" w:rsidP="00C045EA">
      <w:pPr>
        <w:spacing w:before="100" w:beforeAutospacing="1" w:after="100" w:afterAutospacing="1"/>
        <w:jc w:val="both"/>
        <w:rPr>
          <w:color w:val="000000"/>
        </w:rPr>
      </w:pPr>
      <w:r>
        <w:rPr>
          <w:color w:val="000000"/>
        </w:rPr>
        <w:t>This paper discusses this issue.</w:t>
      </w:r>
      <w:r w:rsidR="00490B9C">
        <w:rPr>
          <w:color w:val="000000"/>
        </w:rPr>
        <w:t xml:space="preserve"> </w:t>
      </w:r>
    </w:p>
    <w:p w14:paraId="45F40F38" w14:textId="1F01345D" w:rsidR="00B83061" w:rsidRDefault="00585087" w:rsidP="0046531D">
      <w:pPr>
        <w:pStyle w:val="Heading1"/>
        <w:spacing w:before="100" w:beforeAutospacing="1" w:after="100" w:afterAutospacing="1"/>
        <w:ind w:left="0" w:firstLine="0"/>
        <w:jc w:val="both"/>
      </w:pPr>
      <w:r>
        <w:t xml:space="preserve">2 </w:t>
      </w:r>
      <w:bookmarkStart w:id="3" w:name="OLE_LINK1"/>
      <w:bookmarkStart w:id="4" w:name="OLE_LINK2"/>
      <w:r w:rsidR="00585B05">
        <w:t>Discussion</w:t>
      </w:r>
    </w:p>
    <w:bookmarkEnd w:id="3"/>
    <w:bookmarkEnd w:id="4"/>
    <w:p w14:paraId="3D3BF60C" w14:textId="3F81BAD4" w:rsidR="000D3A27" w:rsidRDefault="000D3A27" w:rsidP="00585B05">
      <w:pPr>
        <w:spacing w:before="100" w:beforeAutospacing="1" w:after="100" w:afterAutospacing="1"/>
        <w:jc w:val="both"/>
      </w:pPr>
      <w:r>
        <w:t>In the previous meeting, it was raised that even when the cell is barred for use by 2Rx XR U</w:t>
      </w:r>
      <w:r w:rsidR="0089120D">
        <w:t>E</w:t>
      </w:r>
      <w:r>
        <w:t>s, it should be possible for these U</w:t>
      </w:r>
      <w:r w:rsidR="0089120D">
        <w:t>E</w:t>
      </w:r>
      <w:r>
        <w:t xml:space="preserve">s to perform emergency calls. Similar issue has been discussed in the previous meeting for </w:t>
      </w:r>
      <w:proofErr w:type="spellStart"/>
      <w:r>
        <w:t>RedCap</w:t>
      </w:r>
      <w:proofErr w:type="spellEnd"/>
      <w:r>
        <w:t xml:space="preserve"> U</w:t>
      </w:r>
      <w:r w:rsidR="0089120D">
        <w:t>E</w:t>
      </w:r>
      <w:r>
        <w:t>s</w:t>
      </w:r>
      <w:r w:rsidR="00A70940">
        <w:t xml:space="preserve"> and eventually the following conclusion was made:</w:t>
      </w:r>
    </w:p>
    <w:p w14:paraId="5424083E" w14:textId="77777777" w:rsidR="00A70940" w:rsidRPr="00E77D1F" w:rsidRDefault="00A70940" w:rsidP="00A70940">
      <w:pPr>
        <w:pStyle w:val="Doc-text2"/>
        <w:pBdr>
          <w:top w:val="single" w:sz="4" w:space="1" w:color="auto"/>
          <w:left w:val="single" w:sz="4" w:space="4" w:color="auto"/>
          <w:bottom w:val="single" w:sz="4" w:space="1" w:color="auto"/>
          <w:right w:val="single" w:sz="4" w:space="4" w:color="auto"/>
        </w:pBdr>
        <w:rPr>
          <w:b/>
          <w:bCs/>
        </w:rPr>
      </w:pPr>
      <w:r w:rsidRPr="00E77D1F">
        <w:rPr>
          <w:b/>
          <w:bCs/>
        </w:rPr>
        <w:t>Agreements:</w:t>
      </w:r>
    </w:p>
    <w:p w14:paraId="055D229F" w14:textId="25508445" w:rsidR="00A70940" w:rsidRDefault="00A70940" w:rsidP="00A70940">
      <w:pPr>
        <w:pStyle w:val="Doc-text2"/>
        <w:pBdr>
          <w:top w:val="single" w:sz="4" w:space="1" w:color="auto"/>
          <w:left w:val="single" w:sz="4" w:space="4" w:color="auto"/>
          <w:bottom w:val="single" w:sz="4" w:space="1" w:color="auto"/>
          <w:right w:val="single" w:sz="4" w:space="4" w:color="auto"/>
        </w:pBdr>
      </w:pPr>
      <w:r>
        <w:t>1.</w:t>
      </w:r>
      <w:r>
        <w:tab/>
        <w:t xml:space="preserve">Agree to the feature of allowing emergency calls for barred </w:t>
      </w:r>
      <w:proofErr w:type="spellStart"/>
      <w:r>
        <w:t>RedCap</w:t>
      </w:r>
      <w:proofErr w:type="spellEnd"/>
      <w:r>
        <w:t xml:space="preserve"> </w:t>
      </w:r>
      <w:proofErr w:type="spellStart"/>
      <w:r>
        <w:t>U</w:t>
      </w:r>
      <w:r w:rsidR="00F64697">
        <w:t>e</w:t>
      </w:r>
      <w:r>
        <w:t>s</w:t>
      </w:r>
      <w:proofErr w:type="spellEnd"/>
      <w:r>
        <w:t xml:space="preserve">.   The network indicates in SIB whether the UE is allowed to initiate emergency calls. </w:t>
      </w:r>
    </w:p>
    <w:p w14:paraId="6105D70C" w14:textId="77777777" w:rsidR="00A70940" w:rsidRDefault="00A70940" w:rsidP="00A70940">
      <w:pPr>
        <w:pStyle w:val="Doc-text2"/>
        <w:pBdr>
          <w:top w:val="single" w:sz="4" w:space="1" w:color="auto"/>
          <w:left w:val="single" w:sz="4" w:space="4" w:color="auto"/>
          <w:bottom w:val="single" w:sz="4" w:space="1" w:color="auto"/>
          <w:right w:val="single" w:sz="4" w:space="4" w:color="auto"/>
        </w:pBdr>
      </w:pPr>
      <w:r>
        <w:t>2.</w:t>
      </w:r>
      <w:r>
        <w:tab/>
        <w:t xml:space="preserve">We will create a common framework for the cases (i.e. we will not cover only case 3) </w:t>
      </w:r>
    </w:p>
    <w:p w14:paraId="57D3CAA0" w14:textId="77777777" w:rsidR="00491665" w:rsidRDefault="00491665" w:rsidP="00585B05">
      <w:pPr>
        <w:spacing w:before="100" w:beforeAutospacing="1" w:after="100" w:afterAutospacing="1"/>
        <w:jc w:val="both"/>
      </w:pPr>
    </w:p>
    <w:p w14:paraId="18496E95" w14:textId="3065961C" w:rsidR="00A70940" w:rsidRDefault="00491665" w:rsidP="00585B05">
      <w:pPr>
        <w:spacing w:before="100" w:beforeAutospacing="1" w:after="100" w:afterAutospacing="1"/>
        <w:jc w:val="both"/>
      </w:pPr>
      <w:r>
        <w:t xml:space="preserve">The discussion on the exact changes to support this mechanism were discussed as part of post-meeting e-mail discussion where the CRs for TS 38.331 and 38.304 were prepared. </w:t>
      </w:r>
    </w:p>
    <w:p w14:paraId="62588546" w14:textId="68F78D42" w:rsidR="008F5631" w:rsidRDefault="00D45C1E" w:rsidP="00585B05">
      <w:pPr>
        <w:spacing w:before="100" w:beforeAutospacing="1" w:after="100" w:afterAutospacing="1"/>
        <w:jc w:val="both"/>
      </w:pPr>
      <w:r>
        <w:t xml:space="preserve">In general, we believe that </w:t>
      </w:r>
      <w:r w:rsidR="00252926">
        <w:t>allowing 2Rx XR U</w:t>
      </w:r>
      <w:r w:rsidR="007B3C2E">
        <w:t>E</w:t>
      </w:r>
      <w:r w:rsidR="00252926">
        <w:t xml:space="preserve">s to perform emergency calls in the cells where 2Rx </w:t>
      </w:r>
      <w:r w:rsidR="00557F1D">
        <w:t xml:space="preserve">XR </w:t>
      </w:r>
      <w:r w:rsidR="00252926">
        <w:t>U</w:t>
      </w:r>
      <w:r w:rsidR="007B3C2E">
        <w:t>E</w:t>
      </w:r>
      <w:r w:rsidR="00252926">
        <w:t>s are otherwise barred should be possible. Wearable devices such as smartwatches already often offer functions allowing to detect an emergency situation and sending a message based on this</w:t>
      </w:r>
      <w:r w:rsidR="00617A47">
        <w:t>, e.g. to pre-selected contacts. Allowing a wearable device to perform an emergency call is therefore a reasonable proposal</w:t>
      </w:r>
      <w:r w:rsidR="008F5631">
        <w:t xml:space="preserve"> and t</w:t>
      </w:r>
      <w:r w:rsidR="00617A47">
        <w:t>his holds also for the case where 2 Rx XR U</w:t>
      </w:r>
      <w:r w:rsidR="007B3C2E">
        <w:t>E</w:t>
      </w:r>
      <w:r w:rsidR="00617A47">
        <w:t xml:space="preserve">s are barred to access the cell for other purposes. </w:t>
      </w:r>
    </w:p>
    <w:p w14:paraId="54B3EAC9" w14:textId="78FDAD36" w:rsidR="008F5631" w:rsidRDefault="008F5631" w:rsidP="00585B05">
      <w:pPr>
        <w:spacing w:before="100" w:beforeAutospacing="1" w:after="100" w:afterAutospacing="1"/>
        <w:jc w:val="both"/>
      </w:pPr>
      <w:r>
        <w:t>Furthermore, i</w:t>
      </w:r>
      <w:r w:rsidR="00617A47">
        <w:t>t should be noted that</w:t>
      </w:r>
      <w:r>
        <w:t>:</w:t>
      </w:r>
    </w:p>
    <w:p w14:paraId="770A55D9" w14:textId="66710DF0" w:rsidR="008F5631" w:rsidRPr="007B3C2E" w:rsidRDefault="008F5631" w:rsidP="007B3C2E">
      <w:pPr>
        <w:pStyle w:val="ListParagraph"/>
        <w:numPr>
          <w:ilvl w:val="0"/>
          <w:numId w:val="41"/>
        </w:numPr>
        <w:spacing w:before="100" w:beforeAutospacing="1" w:after="100" w:afterAutospacing="1"/>
        <w:rPr>
          <w:rFonts w:ascii="Times New Roman" w:hAnsi="Times New Roman" w:cs="Times New Roman"/>
          <w:sz w:val="20"/>
        </w:rPr>
      </w:pPr>
      <w:r w:rsidRPr="007B3C2E">
        <w:rPr>
          <w:rFonts w:ascii="Times New Roman" w:hAnsi="Times New Roman" w:cs="Times New Roman"/>
          <w:sz w:val="20"/>
        </w:rPr>
        <w:t>I</w:t>
      </w:r>
      <w:r w:rsidR="00617A47" w:rsidRPr="007B3C2E">
        <w:rPr>
          <w:rFonts w:ascii="Times New Roman" w:hAnsi="Times New Roman" w:cs="Times New Roman"/>
          <w:sz w:val="20"/>
        </w:rPr>
        <w:t>n the CRs</w:t>
      </w:r>
      <w:r w:rsidRPr="007B3C2E">
        <w:rPr>
          <w:rFonts w:ascii="Times New Roman" w:hAnsi="Times New Roman" w:cs="Times New Roman"/>
          <w:sz w:val="20"/>
        </w:rPr>
        <w:t xml:space="preserve"> approved</w:t>
      </w:r>
      <w:r w:rsidR="00617A47" w:rsidRPr="007B3C2E">
        <w:rPr>
          <w:rFonts w:ascii="Times New Roman" w:hAnsi="Times New Roman" w:cs="Times New Roman"/>
          <w:sz w:val="20"/>
        </w:rPr>
        <w:t xml:space="preserve"> by the RAN plenary, such U</w:t>
      </w:r>
      <w:r w:rsidR="007B3C2E">
        <w:rPr>
          <w:rFonts w:ascii="Times New Roman" w:hAnsi="Times New Roman" w:cs="Times New Roman"/>
          <w:sz w:val="20"/>
        </w:rPr>
        <w:t>E</w:t>
      </w:r>
      <w:r w:rsidR="00617A47" w:rsidRPr="007B3C2E">
        <w:rPr>
          <w:rFonts w:ascii="Times New Roman" w:hAnsi="Times New Roman" w:cs="Times New Roman"/>
          <w:sz w:val="20"/>
        </w:rPr>
        <w:t xml:space="preserve">s are by default allowed to access the cell and in case an operator wants to bar them, the barring bit needs to be </w:t>
      </w:r>
      <w:r w:rsidR="00816E60" w:rsidRPr="007B3C2E">
        <w:rPr>
          <w:rFonts w:ascii="Times New Roman" w:hAnsi="Times New Roman" w:cs="Times New Roman"/>
          <w:sz w:val="20"/>
        </w:rPr>
        <w:t xml:space="preserve">set in SIB1. </w:t>
      </w:r>
    </w:p>
    <w:p w14:paraId="2739234B" w14:textId="5DBD319A" w:rsidR="008F5631" w:rsidRPr="007B3C2E" w:rsidRDefault="00816E60" w:rsidP="007B3C2E">
      <w:pPr>
        <w:pStyle w:val="ListParagraph"/>
        <w:numPr>
          <w:ilvl w:val="0"/>
          <w:numId w:val="41"/>
        </w:numPr>
        <w:spacing w:before="100" w:beforeAutospacing="1" w:after="100" w:afterAutospacing="1"/>
        <w:rPr>
          <w:rFonts w:ascii="Times New Roman" w:hAnsi="Times New Roman" w:cs="Times New Roman"/>
          <w:sz w:val="20"/>
        </w:rPr>
      </w:pPr>
      <w:r w:rsidRPr="007B3C2E">
        <w:rPr>
          <w:rFonts w:ascii="Times New Roman" w:hAnsi="Times New Roman" w:cs="Times New Roman"/>
          <w:sz w:val="20"/>
        </w:rPr>
        <w:t>The main difference between 2Rx XR U</w:t>
      </w:r>
      <w:r w:rsidR="007B3C2E">
        <w:rPr>
          <w:rFonts w:ascii="Times New Roman" w:hAnsi="Times New Roman" w:cs="Times New Roman"/>
          <w:sz w:val="20"/>
        </w:rPr>
        <w:t>E</w:t>
      </w:r>
      <w:r w:rsidRPr="007B3C2E">
        <w:rPr>
          <w:rFonts w:ascii="Times New Roman" w:hAnsi="Times New Roman" w:cs="Times New Roman"/>
          <w:sz w:val="20"/>
        </w:rPr>
        <w:t>s and “normal” U</w:t>
      </w:r>
      <w:r w:rsidR="007B3C2E">
        <w:rPr>
          <w:rFonts w:ascii="Times New Roman" w:hAnsi="Times New Roman" w:cs="Times New Roman"/>
          <w:sz w:val="20"/>
        </w:rPr>
        <w:t>E</w:t>
      </w:r>
      <w:r w:rsidRPr="007B3C2E">
        <w:rPr>
          <w:rFonts w:ascii="Times New Roman" w:hAnsi="Times New Roman" w:cs="Times New Roman"/>
          <w:sz w:val="20"/>
        </w:rPr>
        <w:t>s is the fact that 2 Rx XR U</w:t>
      </w:r>
      <w:r w:rsidR="007B3C2E">
        <w:rPr>
          <w:rFonts w:ascii="Times New Roman" w:hAnsi="Times New Roman" w:cs="Times New Roman"/>
          <w:sz w:val="20"/>
        </w:rPr>
        <w:t>E</w:t>
      </w:r>
      <w:r w:rsidRPr="007B3C2E">
        <w:rPr>
          <w:rFonts w:ascii="Times New Roman" w:hAnsi="Times New Roman" w:cs="Times New Roman"/>
          <w:sz w:val="20"/>
        </w:rPr>
        <w:t>s have only 2 Rx chains in the bands where other U</w:t>
      </w:r>
      <w:r w:rsidR="007B3C2E">
        <w:rPr>
          <w:rFonts w:ascii="Times New Roman" w:hAnsi="Times New Roman" w:cs="Times New Roman"/>
          <w:sz w:val="20"/>
        </w:rPr>
        <w:t>E</w:t>
      </w:r>
      <w:r w:rsidRPr="007B3C2E">
        <w:rPr>
          <w:rFonts w:ascii="Times New Roman" w:hAnsi="Times New Roman" w:cs="Times New Roman"/>
          <w:sz w:val="20"/>
        </w:rPr>
        <w:t>s are required to have 4 Rx chains, but the network may still easily serve such U</w:t>
      </w:r>
      <w:r w:rsidR="007B3C2E">
        <w:rPr>
          <w:rFonts w:ascii="Times New Roman" w:hAnsi="Times New Roman" w:cs="Times New Roman"/>
          <w:sz w:val="20"/>
        </w:rPr>
        <w:t>E</w:t>
      </w:r>
      <w:r w:rsidRPr="007B3C2E">
        <w:rPr>
          <w:rFonts w:ascii="Times New Roman" w:hAnsi="Times New Roman" w:cs="Times New Roman"/>
          <w:sz w:val="20"/>
        </w:rPr>
        <w:t xml:space="preserve">s </w:t>
      </w:r>
      <w:r w:rsidR="00997CB9" w:rsidRPr="007B3C2E">
        <w:rPr>
          <w:rFonts w:ascii="Times New Roman" w:hAnsi="Times New Roman" w:cs="Times New Roman"/>
          <w:sz w:val="20"/>
        </w:rPr>
        <w:t xml:space="preserve">without having to implement any enhancements, by simply configuring </w:t>
      </w:r>
      <w:r w:rsidR="00557F1D" w:rsidRPr="007B3C2E">
        <w:rPr>
          <w:rFonts w:ascii="Times New Roman" w:hAnsi="Times New Roman" w:cs="Times New Roman"/>
          <w:sz w:val="20"/>
        </w:rPr>
        <w:t>them</w:t>
      </w:r>
      <w:r w:rsidR="00997CB9" w:rsidRPr="007B3C2E">
        <w:rPr>
          <w:rFonts w:ascii="Times New Roman" w:hAnsi="Times New Roman" w:cs="Times New Roman"/>
          <w:sz w:val="20"/>
        </w:rPr>
        <w:t xml:space="preserve"> with no more than two MIMO layers for reception. </w:t>
      </w:r>
    </w:p>
    <w:p w14:paraId="62665716" w14:textId="6C446429" w:rsidR="00617A47" w:rsidRPr="008F5631" w:rsidRDefault="00701F04" w:rsidP="00757E74">
      <w:pPr>
        <w:spacing w:before="100" w:beforeAutospacing="1" w:after="100" w:afterAutospacing="1"/>
        <w:jc w:val="both"/>
      </w:pPr>
      <w:r w:rsidRPr="008F5631">
        <w:lastRenderedPageBreak/>
        <w:t>Therefore, from technical perspective there is no issue for the network to operate emergency calls from such U</w:t>
      </w:r>
      <w:r w:rsidR="00114F37">
        <w:t>E</w:t>
      </w:r>
      <w:r w:rsidRPr="008F5631">
        <w:t>s even when the network wants to bar them for some reasons</w:t>
      </w:r>
      <w:r w:rsidR="008F5631">
        <w:t xml:space="preserve"> in other situations</w:t>
      </w:r>
      <w:r w:rsidR="00557F1D">
        <w:t>, e.g. to avoid impact on system performance</w:t>
      </w:r>
      <w:r w:rsidRPr="008F5631">
        <w:t>.</w:t>
      </w:r>
      <w:r w:rsidR="008F5631">
        <w:t xml:space="preserve"> Hence, then main question is </w:t>
      </w:r>
      <w:r w:rsidR="00C22B1D">
        <w:t>whether the UE should always be able to override the barring for the sake of emergency calls as long as there is no barring</w:t>
      </w:r>
      <w:r w:rsidR="00114F37">
        <w:t xml:space="preserve"> bit</w:t>
      </w:r>
      <w:r w:rsidR="00C22B1D">
        <w:t xml:space="preserve"> set in MIB, or whether the network needs to have a possibility to control whether such overriding should be possible</w:t>
      </w:r>
      <w:r w:rsidR="00557F1D">
        <w:t xml:space="preserve"> (as agreed in the case of </w:t>
      </w:r>
      <w:proofErr w:type="spellStart"/>
      <w:r w:rsidR="00557F1D">
        <w:t>RedCap</w:t>
      </w:r>
      <w:proofErr w:type="spellEnd"/>
      <w:r w:rsidR="00557F1D">
        <w:t>)</w:t>
      </w:r>
      <w:r w:rsidR="00C22B1D">
        <w:t xml:space="preserve">. In our view, since emergency calls happen only occasionally and are always of high priority, and considering the fact that there is no technical issue even for legacy </w:t>
      </w:r>
      <w:proofErr w:type="spellStart"/>
      <w:r w:rsidR="00C22B1D">
        <w:t>gNBs</w:t>
      </w:r>
      <w:proofErr w:type="spellEnd"/>
      <w:r w:rsidR="00C22B1D">
        <w:t xml:space="preserve"> to serve such </w:t>
      </w:r>
      <w:r w:rsidR="00114F37">
        <w:t>2Rx XR UEs</w:t>
      </w:r>
      <w:r w:rsidR="00C22B1D">
        <w:t>, there is no need for additional network control in this case. When it comes to the detailed implementation of the overriding mechanism</w:t>
      </w:r>
      <w:r w:rsidR="00757E74">
        <w:t xml:space="preserve">, we think we can follow the principles suggested in the draft CRs for barring overriding for </w:t>
      </w:r>
      <w:proofErr w:type="spellStart"/>
      <w:r w:rsidR="00757E74">
        <w:t>RedCap</w:t>
      </w:r>
      <w:proofErr w:type="spellEnd"/>
      <w:r w:rsidR="00757E74">
        <w:t xml:space="preserve"> U</w:t>
      </w:r>
      <w:r w:rsidR="004001E0">
        <w:t>E</w:t>
      </w:r>
      <w:r w:rsidR="00757E74">
        <w:t xml:space="preserve">s, i.e. add an exception to TS 38.304 that 2Rx XR UE is allowed to consider the barred cell as acceptable cell in case </w:t>
      </w:r>
      <w:proofErr w:type="spellStart"/>
      <w:r w:rsidR="00757E74" w:rsidRPr="001D3D61">
        <w:rPr>
          <w:i/>
          <w:iCs/>
        </w:rPr>
        <w:t>cellBarred</w:t>
      </w:r>
      <w:proofErr w:type="spellEnd"/>
      <w:r w:rsidR="00757E74" w:rsidRPr="00F30DFC">
        <w:t xml:space="preserve"> </w:t>
      </w:r>
      <w:r w:rsidR="00757E74">
        <w:t>in MIB is not set to “barred”.</w:t>
      </w:r>
    </w:p>
    <w:p w14:paraId="396008A1" w14:textId="77777777" w:rsidR="00CB6C13" w:rsidRPr="0031486C" w:rsidRDefault="00CB6C13" w:rsidP="00CB6C13">
      <w:pPr>
        <w:spacing w:before="100" w:beforeAutospacing="1" w:after="100" w:afterAutospacing="1"/>
        <w:jc w:val="both"/>
        <w:rPr>
          <w:b/>
        </w:rPr>
      </w:pPr>
      <w:r w:rsidRPr="00757E74">
        <w:rPr>
          <w:b/>
        </w:rPr>
        <w:t xml:space="preserve">Proposal 1: </w:t>
      </w:r>
      <w:r>
        <w:rPr>
          <w:b/>
        </w:rPr>
        <w:t xml:space="preserve">Clarify in TS 38.304 that </w:t>
      </w:r>
      <w:r w:rsidRPr="00757E74">
        <w:rPr>
          <w:b/>
        </w:rPr>
        <w:t xml:space="preserve">2Rx XR UEs can consider a barred cell as an acceptable cell in case </w:t>
      </w:r>
      <w:proofErr w:type="spellStart"/>
      <w:r w:rsidRPr="00757E74">
        <w:rPr>
          <w:b/>
          <w:i/>
          <w:iCs/>
        </w:rPr>
        <w:t>cellBarred</w:t>
      </w:r>
      <w:proofErr w:type="spellEnd"/>
      <w:r w:rsidRPr="00757E74">
        <w:rPr>
          <w:b/>
        </w:rPr>
        <w:t xml:space="preserve"> in MIB is not set to “barred”.</w:t>
      </w:r>
    </w:p>
    <w:p w14:paraId="1B4B23D7" w14:textId="18601DD5" w:rsidR="00A361EF" w:rsidRDefault="005E1430" w:rsidP="005E1430">
      <w:pPr>
        <w:pStyle w:val="Heading1"/>
      </w:pPr>
      <w:bookmarkStart w:id="5" w:name="_GoBack"/>
      <w:bookmarkEnd w:id="5"/>
      <w:r>
        <w:t xml:space="preserve">3 </w:t>
      </w:r>
      <w:r w:rsidR="00A361EF">
        <w:t>Conclusion</w:t>
      </w:r>
    </w:p>
    <w:p w14:paraId="1DC64EFA" w14:textId="2A835A6B" w:rsidR="00BB6CA6" w:rsidRDefault="00557F1D" w:rsidP="000D3A27">
      <w:pPr>
        <w:spacing w:before="100" w:beforeAutospacing="1" w:after="100" w:afterAutospacing="1"/>
        <w:jc w:val="both"/>
        <w:rPr>
          <w:lang w:val="en-US"/>
        </w:rPr>
      </w:pPr>
      <w:r>
        <w:rPr>
          <w:lang w:val="en-US"/>
        </w:rPr>
        <w:t>Based on the discussion in this paper, we propose the following:</w:t>
      </w:r>
    </w:p>
    <w:p w14:paraId="0C3095EA" w14:textId="3827881D" w:rsidR="00557F1D" w:rsidRPr="0031486C" w:rsidRDefault="00557F1D" w:rsidP="00F64697">
      <w:pPr>
        <w:spacing w:before="100" w:beforeAutospacing="1" w:after="100" w:afterAutospacing="1"/>
        <w:jc w:val="both"/>
        <w:rPr>
          <w:b/>
        </w:rPr>
      </w:pPr>
      <w:r w:rsidRPr="00757E74">
        <w:rPr>
          <w:b/>
        </w:rPr>
        <w:t xml:space="preserve">Proposal 1: </w:t>
      </w:r>
      <w:r w:rsidR="00F64697">
        <w:rPr>
          <w:b/>
        </w:rPr>
        <w:t xml:space="preserve">Clarify in </w:t>
      </w:r>
      <w:r w:rsidR="00CB6C13">
        <w:rPr>
          <w:b/>
        </w:rPr>
        <w:t xml:space="preserve">TS 38.304 that </w:t>
      </w:r>
      <w:r w:rsidRPr="00757E74">
        <w:rPr>
          <w:b/>
        </w:rPr>
        <w:t xml:space="preserve">2Rx XR UEs can consider a barred cell as an acceptable cell in case </w:t>
      </w:r>
      <w:proofErr w:type="spellStart"/>
      <w:r w:rsidRPr="00757E74">
        <w:rPr>
          <w:b/>
          <w:i/>
          <w:iCs/>
        </w:rPr>
        <w:t>cellBarred</w:t>
      </w:r>
      <w:proofErr w:type="spellEnd"/>
      <w:r w:rsidRPr="00757E74">
        <w:rPr>
          <w:b/>
        </w:rPr>
        <w:t xml:space="preserve"> in MIB is not set to “barred”.</w:t>
      </w:r>
    </w:p>
    <w:p w14:paraId="202BEE13" w14:textId="0D2F84D6" w:rsidR="008C3E92" w:rsidRDefault="008C3E92" w:rsidP="0046531D">
      <w:pPr>
        <w:pStyle w:val="Heading1"/>
        <w:ind w:left="0" w:firstLine="0"/>
        <w:jc w:val="both"/>
      </w:pPr>
      <w:r>
        <w:rPr>
          <w:rFonts w:hint="eastAsia"/>
        </w:rPr>
        <w:t>4</w:t>
      </w:r>
      <w:r>
        <w:t xml:space="preserve"> Reference</w:t>
      </w:r>
      <w:r w:rsidR="00F51371">
        <w:t>s</w:t>
      </w:r>
    </w:p>
    <w:p w14:paraId="78B3F70D" w14:textId="2BABB46E" w:rsidR="00EE5A95" w:rsidRPr="000D3A27" w:rsidRDefault="00536514" w:rsidP="00557F1D">
      <w:pPr>
        <w:jc w:val="both"/>
        <w:rPr>
          <w:rFonts w:ascii="Arial" w:hAnsi="Arial"/>
          <w:sz w:val="36"/>
        </w:rPr>
      </w:pPr>
      <w:r>
        <w:t>[1</w:t>
      </w:r>
      <w:r w:rsidR="00256ABE">
        <w:t xml:space="preserve">]. </w:t>
      </w:r>
      <w:r w:rsidR="000D3A27" w:rsidRPr="000D3A27">
        <w:t>RP-240847</w:t>
      </w:r>
      <w:r w:rsidR="000D3A27">
        <w:t xml:space="preserve">, </w:t>
      </w:r>
      <w:r w:rsidR="000D3A27" w:rsidRPr="000D3A27">
        <w:t>Way Forward on 2Rx for XR</w:t>
      </w:r>
      <w:r w:rsidR="000D3A27">
        <w:t xml:space="preserve">, </w:t>
      </w:r>
      <w:r w:rsidR="000D3A27" w:rsidRPr="000D3A27">
        <w:t>Moderator (Nokia</w:t>
      </w:r>
      <w:r w:rsidR="00557F1D">
        <w:t>)</w:t>
      </w:r>
    </w:p>
    <w:sectPr w:rsidR="00EE5A95" w:rsidRPr="000D3A27" w:rsidSect="00557F1D">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9B15D" w14:textId="77777777" w:rsidR="00697076" w:rsidRDefault="00697076">
      <w:r>
        <w:separator/>
      </w:r>
    </w:p>
  </w:endnote>
  <w:endnote w:type="continuationSeparator" w:id="0">
    <w:p w14:paraId="59258432" w14:textId="77777777" w:rsidR="00697076" w:rsidRDefault="00697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B3726" w14:textId="77777777" w:rsidR="00697076" w:rsidRDefault="00697076">
      <w:r>
        <w:separator/>
      </w:r>
    </w:p>
  </w:footnote>
  <w:footnote w:type="continuationSeparator" w:id="0">
    <w:p w14:paraId="7EBCEEE4" w14:textId="77777777" w:rsidR="00697076" w:rsidRDefault="00697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EE5A95" w:rsidRDefault="00EE5A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5pt;height:11.5pt" o:bullet="t">
        <v:imagedata r:id="rId1" o:title="clip_image001"/>
      </v:shape>
    </w:pict>
  </w:numPicBullet>
  <w:abstractNum w:abstractNumId="0"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2063AAE"/>
    <w:multiLevelType w:val="hybridMultilevel"/>
    <w:tmpl w:val="045A4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714F20"/>
    <w:multiLevelType w:val="hybridMultilevel"/>
    <w:tmpl w:val="A03ED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801676"/>
    <w:multiLevelType w:val="hybridMultilevel"/>
    <w:tmpl w:val="D3A60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6494A4F"/>
    <w:multiLevelType w:val="hybridMultilevel"/>
    <w:tmpl w:val="2B98DF64"/>
    <w:lvl w:ilvl="0" w:tplc="E30E4032">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27"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BF236F5"/>
    <w:multiLevelType w:val="hybridMultilevel"/>
    <w:tmpl w:val="045A4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CA3205"/>
    <w:multiLevelType w:val="hybridMultilevel"/>
    <w:tmpl w:val="409E49B2"/>
    <w:lvl w:ilvl="0" w:tplc="E30E4032">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1"/>
  </w:num>
  <w:num w:numId="3">
    <w:abstractNumId w:val="8"/>
  </w:num>
  <w:num w:numId="4">
    <w:abstractNumId w:val="26"/>
  </w:num>
  <w:num w:numId="5">
    <w:abstractNumId w:val="26"/>
    <w:lvlOverride w:ilvl="0">
      <w:startOverride w:val="1"/>
    </w:lvlOverride>
  </w:num>
  <w:num w:numId="6">
    <w:abstractNumId w:val="26"/>
    <w:lvlOverride w:ilvl="0">
      <w:startOverride w:val="1"/>
    </w:lvlOverride>
  </w:num>
  <w:num w:numId="7">
    <w:abstractNumId w:val="5"/>
  </w:num>
  <w:num w:numId="8">
    <w:abstractNumId w:val="27"/>
  </w:num>
  <w:num w:numId="9">
    <w:abstractNumId w:val="19"/>
  </w:num>
  <w:num w:numId="10">
    <w:abstractNumId w:val="23"/>
  </w:num>
  <w:num w:numId="11">
    <w:abstractNumId w:val="26"/>
  </w:num>
  <w:num w:numId="12">
    <w:abstractNumId w:val="22"/>
  </w:num>
  <w:num w:numId="13">
    <w:abstractNumId w:val="2"/>
  </w:num>
  <w:num w:numId="14">
    <w:abstractNumId w:val="32"/>
  </w:num>
  <w:num w:numId="15">
    <w:abstractNumId w:val="15"/>
  </w:num>
  <w:num w:numId="16">
    <w:abstractNumId w:val="6"/>
  </w:num>
  <w:num w:numId="17">
    <w:abstractNumId w:val="26"/>
  </w:num>
  <w:num w:numId="18">
    <w:abstractNumId w:val="18"/>
  </w:num>
  <w:num w:numId="19">
    <w:abstractNumId w:val="24"/>
  </w:num>
  <w:num w:numId="20">
    <w:abstractNumId w:val="28"/>
  </w:num>
  <w:num w:numId="21">
    <w:abstractNumId w:val="28"/>
  </w:num>
  <w:num w:numId="22">
    <w:abstractNumId w:val="26"/>
  </w:num>
  <w:num w:numId="23">
    <w:abstractNumId w:val="3"/>
  </w:num>
  <w:num w:numId="24">
    <w:abstractNumId w:val="12"/>
  </w:num>
  <w:num w:numId="25">
    <w:abstractNumId w:val="20"/>
  </w:num>
  <w:num w:numId="26">
    <w:abstractNumId w:val="0"/>
  </w:num>
  <w:num w:numId="27">
    <w:abstractNumId w:val="13"/>
  </w:num>
  <w:num w:numId="28">
    <w:abstractNumId w:val="21"/>
  </w:num>
  <w:num w:numId="29">
    <w:abstractNumId w:val="31"/>
  </w:num>
  <w:num w:numId="30">
    <w:abstractNumId w:val="30"/>
  </w:num>
  <w:num w:numId="31">
    <w:abstractNumId w:val="4"/>
  </w:num>
  <w:num w:numId="32">
    <w:abstractNumId w:val="14"/>
  </w:num>
  <w:num w:numId="33">
    <w:abstractNumId w:val="16"/>
  </w:num>
  <w:num w:numId="34">
    <w:abstractNumId w:val="17"/>
  </w:num>
  <w:num w:numId="35">
    <w:abstractNumId w:val="28"/>
  </w:num>
  <w:num w:numId="36">
    <w:abstractNumId w:val="25"/>
  </w:num>
  <w:num w:numId="37">
    <w:abstractNumId w:val="9"/>
  </w:num>
  <w:num w:numId="38">
    <w:abstractNumId w:val="11"/>
  </w:num>
  <w:num w:numId="39">
    <w:abstractNumId w:val="10"/>
  </w:num>
  <w:num w:numId="40">
    <w:abstractNumId w:val="7"/>
  </w:num>
  <w:num w:numId="41">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DF2"/>
    <w:rsid w:val="00022E4A"/>
    <w:rsid w:val="0002368C"/>
    <w:rsid w:val="00023B68"/>
    <w:rsid w:val="00024326"/>
    <w:rsid w:val="00024434"/>
    <w:rsid w:val="00025294"/>
    <w:rsid w:val="00025570"/>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2490"/>
    <w:rsid w:val="000B2875"/>
    <w:rsid w:val="000B2AE9"/>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604"/>
    <w:rsid w:val="000E7719"/>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9FE"/>
    <w:rsid w:val="00106A45"/>
    <w:rsid w:val="00106F73"/>
    <w:rsid w:val="00107586"/>
    <w:rsid w:val="00107B37"/>
    <w:rsid w:val="00110651"/>
    <w:rsid w:val="00110C6B"/>
    <w:rsid w:val="00112E84"/>
    <w:rsid w:val="001132F6"/>
    <w:rsid w:val="0011339B"/>
    <w:rsid w:val="00113A60"/>
    <w:rsid w:val="00113B77"/>
    <w:rsid w:val="00114712"/>
    <w:rsid w:val="00114970"/>
    <w:rsid w:val="00114F37"/>
    <w:rsid w:val="001158AF"/>
    <w:rsid w:val="00115F2A"/>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9DF"/>
    <w:rsid w:val="00131496"/>
    <w:rsid w:val="00132054"/>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D43"/>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4307"/>
    <w:rsid w:val="001651B5"/>
    <w:rsid w:val="00165485"/>
    <w:rsid w:val="0016573E"/>
    <w:rsid w:val="00165AD1"/>
    <w:rsid w:val="00165C82"/>
    <w:rsid w:val="00165F9A"/>
    <w:rsid w:val="00166644"/>
    <w:rsid w:val="00166657"/>
    <w:rsid w:val="00167A50"/>
    <w:rsid w:val="001701F3"/>
    <w:rsid w:val="0017043A"/>
    <w:rsid w:val="00170585"/>
    <w:rsid w:val="00170906"/>
    <w:rsid w:val="001717FE"/>
    <w:rsid w:val="00172659"/>
    <w:rsid w:val="001726CF"/>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66F"/>
    <w:rsid w:val="001A3567"/>
    <w:rsid w:val="001A3B18"/>
    <w:rsid w:val="001A4153"/>
    <w:rsid w:val="001A4346"/>
    <w:rsid w:val="001A452F"/>
    <w:rsid w:val="001A454C"/>
    <w:rsid w:val="001A4665"/>
    <w:rsid w:val="001A4731"/>
    <w:rsid w:val="001A4C26"/>
    <w:rsid w:val="001A4CBF"/>
    <w:rsid w:val="001A6150"/>
    <w:rsid w:val="001A6DD3"/>
    <w:rsid w:val="001A7B60"/>
    <w:rsid w:val="001B0CF0"/>
    <w:rsid w:val="001B0D85"/>
    <w:rsid w:val="001B0F05"/>
    <w:rsid w:val="001B188E"/>
    <w:rsid w:val="001B2A55"/>
    <w:rsid w:val="001B38C2"/>
    <w:rsid w:val="001B4002"/>
    <w:rsid w:val="001B4222"/>
    <w:rsid w:val="001B469F"/>
    <w:rsid w:val="001B4999"/>
    <w:rsid w:val="001B4DDB"/>
    <w:rsid w:val="001B7A65"/>
    <w:rsid w:val="001C0C85"/>
    <w:rsid w:val="001C3BAA"/>
    <w:rsid w:val="001C3C9C"/>
    <w:rsid w:val="001C3CBE"/>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4706"/>
    <w:rsid w:val="00216D90"/>
    <w:rsid w:val="00216F1A"/>
    <w:rsid w:val="0022010C"/>
    <w:rsid w:val="00220769"/>
    <w:rsid w:val="002213BD"/>
    <w:rsid w:val="0022144B"/>
    <w:rsid w:val="00222299"/>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6ABE"/>
    <w:rsid w:val="002577A5"/>
    <w:rsid w:val="0026004D"/>
    <w:rsid w:val="002603A1"/>
    <w:rsid w:val="00260DC7"/>
    <w:rsid w:val="00261222"/>
    <w:rsid w:val="00261F24"/>
    <w:rsid w:val="0026216C"/>
    <w:rsid w:val="00262722"/>
    <w:rsid w:val="00263196"/>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EA7"/>
    <w:rsid w:val="00281203"/>
    <w:rsid w:val="002821EF"/>
    <w:rsid w:val="00282F82"/>
    <w:rsid w:val="002837F9"/>
    <w:rsid w:val="00283CB8"/>
    <w:rsid w:val="00284A9D"/>
    <w:rsid w:val="00284D79"/>
    <w:rsid w:val="002852C3"/>
    <w:rsid w:val="00285667"/>
    <w:rsid w:val="00285B04"/>
    <w:rsid w:val="002860C4"/>
    <w:rsid w:val="002860F6"/>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7198"/>
    <w:rsid w:val="002C7E24"/>
    <w:rsid w:val="002D05B1"/>
    <w:rsid w:val="002D0DFC"/>
    <w:rsid w:val="002D1EDE"/>
    <w:rsid w:val="002D277E"/>
    <w:rsid w:val="002D2A14"/>
    <w:rsid w:val="002D2C6F"/>
    <w:rsid w:val="002D3442"/>
    <w:rsid w:val="002D3C66"/>
    <w:rsid w:val="002D3CD4"/>
    <w:rsid w:val="002D3DC2"/>
    <w:rsid w:val="002D47FD"/>
    <w:rsid w:val="002D47FF"/>
    <w:rsid w:val="002D4BDE"/>
    <w:rsid w:val="002D4E39"/>
    <w:rsid w:val="002D639E"/>
    <w:rsid w:val="002D67AC"/>
    <w:rsid w:val="002D6892"/>
    <w:rsid w:val="002D6D61"/>
    <w:rsid w:val="002D7648"/>
    <w:rsid w:val="002E0C8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6037"/>
    <w:rsid w:val="003162C2"/>
    <w:rsid w:val="00316C7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583"/>
    <w:rsid w:val="003325AB"/>
    <w:rsid w:val="00332853"/>
    <w:rsid w:val="0033286F"/>
    <w:rsid w:val="00333C5A"/>
    <w:rsid w:val="0033460F"/>
    <w:rsid w:val="0033493B"/>
    <w:rsid w:val="00335E87"/>
    <w:rsid w:val="00335E8C"/>
    <w:rsid w:val="00336575"/>
    <w:rsid w:val="003366AC"/>
    <w:rsid w:val="003368FD"/>
    <w:rsid w:val="00336A86"/>
    <w:rsid w:val="003374DE"/>
    <w:rsid w:val="003376E4"/>
    <w:rsid w:val="00337A59"/>
    <w:rsid w:val="00340623"/>
    <w:rsid w:val="003417DE"/>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7815"/>
    <w:rsid w:val="00367A7C"/>
    <w:rsid w:val="00367BA3"/>
    <w:rsid w:val="003701D4"/>
    <w:rsid w:val="00370572"/>
    <w:rsid w:val="003705B6"/>
    <w:rsid w:val="003713A0"/>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1855"/>
    <w:rsid w:val="00391CEC"/>
    <w:rsid w:val="00392AD9"/>
    <w:rsid w:val="00393759"/>
    <w:rsid w:val="00393811"/>
    <w:rsid w:val="00394E02"/>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344D"/>
    <w:rsid w:val="003C3A2B"/>
    <w:rsid w:val="003C3D6C"/>
    <w:rsid w:val="003C4679"/>
    <w:rsid w:val="003C540B"/>
    <w:rsid w:val="003C5484"/>
    <w:rsid w:val="003C553E"/>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9B0"/>
    <w:rsid w:val="003E1A36"/>
    <w:rsid w:val="003E223C"/>
    <w:rsid w:val="003E2939"/>
    <w:rsid w:val="003E2D3A"/>
    <w:rsid w:val="003E2D50"/>
    <w:rsid w:val="003E3B3F"/>
    <w:rsid w:val="003E3B4E"/>
    <w:rsid w:val="003E49F0"/>
    <w:rsid w:val="003E4E7F"/>
    <w:rsid w:val="003E4F25"/>
    <w:rsid w:val="003E4F99"/>
    <w:rsid w:val="003E540A"/>
    <w:rsid w:val="003E5F22"/>
    <w:rsid w:val="003E68F4"/>
    <w:rsid w:val="003E6B9A"/>
    <w:rsid w:val="003E7D38"/>
    <w:rsid w:val="003F022E"/>
    <w:rsid w:val="003F048C"/>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6251"/>
    <w:rsid w:val="0040642E"/>
    <w:rsid w:val="00406789"/>
    <w:rsid w:val="00407462"/>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11D2"/>
    <w:rsid w:val="004312C3"/>
    <w:rsid w:val="0043375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C07"/>
    <w:rsid w:val="00462E76"/>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51AC"/>
    <w:rsid w:val="004869C1"/>
    <w:rsid w:val="00487D88"/>
    <w:rsid w:val="0049040F"/>
    <w:rsid w:val="004909A6"/>
    <w:rsid w:val="00490B9C"/>
    <w:rsid w:val="00491665"/>
    <w:rsid w:val="004922C6"/>
    <w:rsid w:val="00493029"/>
    <w:rsid w:val="004932C7"/>
    <w:rsid w:val="004940A5"/>
    <w:rsid w:val="00494779"/>
    <w:rsid w:val="00494B8D"/>
    <w:rsid w:val="004950E2"/>
    <w:rsid w:val="00495A32"/>
    <w:rsid w:val="00495B01"/>
    <w:rsid w:val="004964AD"/>
    <w:rsid w:val="004966E2"/>
    <w:rsid w:val="004A0B8D"/>
    <w:rsid w:val="004A0D02"/>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849"/>
    <w:rsid w:val="004B5DAE"/>
    <w:rsid w:val="004B6002"/>
    <w:rsid w:val="004B6550"/>
    <w:rsid w:val="004B66C1"/>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7F16"/>
    <w:rsid w:val="004D0C5B"/>
    <w:rsid w:val="004D2279"/>
    <w:rsid w:val="004D248F"/>
    <w:rsid w:val="004D28DB"/>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25D9"/>
    <w:rsid w:val="005234D7"/>
    <w:rsid w:val="00523BBC"/>
    <w:rsid w:val="005243F4"/>
    <w:rsid w:val="005247A7"/>
    <w:rsid w:val="005248E1"/>
    <w:rsid w:val="00524A24"/>
    <w:rsid w:val="00524ADC"/>
    <w:rsid w:val="00524C14"/>
    <w:rsid w:val="005259F7"/>
    <w:rsid w:val="00526018"/>
    <w:rsid w:val="005266E6"/>
    <w:rsid w:val="00526742"/>
    <w:rsid w:val="00526D5C"/>
    <w:rsid w:val="00526FB6"/>
    <w:rsid w:val="00527274"/>
    <w:rsid w:val="005304B8"/>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316E"/>
    <w:rsid w:val="0056363E"/>
    <w:rsid w:val="00563677"/>
    <w:rsid w:val="00564892"/>
    <w:rsid w:val="005666A1"/>
    <w:rsid w:val="00567C76"/>
    <w:rsid w:val="00570DB7"/>
    <w:rsid w:val="00570E76"/>
    <w:rsid w:val="00570F75"/>
    <w:rsid w:val="00571D59"/>
    <w:rsid w:val="0057223E"/>
    <w:rsid w:val="0057327A"/>
    <w:rsid w:val="00576666"/>
    <w:rsid w:val="005774FB"/>
    <w:rsid w:val="005778F2"/>
    <w:rsid w:val="005808ED"/>
    <w:rsid w:val="0058095D"/>
    <w:rsid w:val="00581D66"/>
    <w:rsid w:val="00582305"/>
    <w:rsid w:val="005823C7"/>
    <w:rsid w:val="005824A8"/>
    <w:rsid w:val="0058288A"/>
    <w:rsid w:val="005831E0"/>
    <w:rsid w:val="00583C81"/>
    <w:rsid w:val="00584E65"/>
    <w:rsid w:val="00585087"/>
    <w:rsid w:val="00585287"/>
    <w:rsid w:val="005858E4"/>
    <w:rsid w:val="00585903"/>
    <w:rsid w:val="00585B05"/>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E01"/>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4E18"/>
    <w:rsid w:val="005A53CF"/>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FB5"/>
    <w:rsid w:val="005B52FA"/>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5B19"/>
    <w:rsid w:val="005E5E6A"/>
    <w:rsid w:val="005E63B3"/>
    <w:rsid w:val="005E64B7"/>
    <w:rsid w:val="005E64BC"/>
    <w:rsid w:val="005E67A5"/>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C44"/>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2462"/>
    <w:rsid w:val="006F2862"/>
    <w:rsid w:val="006F2B41"/>
    <w:rsid w:val="006F544D"/>
    <w:rsid w:val="006F6797"/>
    <w:rsid w:val="006F6EC6"/>
    <w:rsid w:val="006F6ED0"/>
    <w:rsid w:val="006F7177"/>
    <w:rsid w:val="006F75B0"/>
    <w:rsid w:val="006F79B5"/>
    <w:rsid w:val="006F7C18"/>
    <w:rsid w:val="00700353"/>
    <w:rsid w:val="00700700"/>
    <w:rsid w:val="007007B4"/>
    <w:rsid w:val="0070081F"/>
    <w:rsid w:val="007008D4"/>
    <w:rsid w:val="00701958"/>
    <w:rsid w:val="00701B30"/>
    <w:rsid w:val="00701F04"/>
    <w:rsid w:val="00703081"/>
    <w:rsid w:val="007035CE"/>
    <w:rsid w:val="00704601"/>
    <w:rsid w:val="00705665"/>
    <w:rsid w:val="00706417"/>
    <w:rsid w:val="0070668F"/>
    <w:rsid w:val="007072CB"/>
    <w:rsid w:val="007101EE"/>
    <w:rsid w:val="0071085B"/>
    <w:rsid w:val="00710ADB"/>
    <w:rsid w:val="00710C01"/>
    <w:rsid w:val="00711115"/>
    <w:rsid w:val="00711781"/>
    <w:rsid w:val="00712035"/>
    <w:rsid w:val="007126EC"/>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6CF7"/>
    <w:rsid w:val="00746D82"/>
    <w:rsid w:val="0075087A"/>
    <w:rsid w:val="00750AA5"/>
    <w:rsid w:val="00751327"/>
    <w:rsid w:val="00751626"/>
    <w:rsid w:val="007519F9"/>
    <w:rsid w:val="007528F7"/>
    <w:rsid w:val="00753423"/>
    <w:rsid w:val="00753BE5"/>
    <w:rsid w:val="00753C53"/>
    <w:rsid w:val="00754288"/>
    <w:rsid w:val="007542C2"/>
    <w:rsid w:val="00755767"/>
    <w:rsid w:val="00755F7D"/>
    <w:rsid w:val="00756293"/>
    <w:rsid w:val="007566AF"/>
    <w:rsid w:val="00756DD4"/>
    <w:rsid w:val="00756E00"/>
    <w:rsid w:val="00757022"/>
    <w:rsid w:val="00757BD5"/>
    <w:rsid w:val="00757E74"/>
    <w:rsid w:val="00757FFB"/>
    <w:rsid w:val="00761591"/>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550"/>
    <w:rsid w:val="007B07E2"/>
    <w:rsid w:val="007B0A00"/>
    <w:rsid w:val="007B1195"/>
    <w:rsid w:val="007B35E1"/>
    <w:rsid w:val="007B3C2E"/>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AD"/>
    <w:rsid w:val="007E755F"/>
    <w:rsid w:val="007E756B"/>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546A"/>
    <w:rsid w:val="00866A17"/>
    <w:rsid w:val="00866A49"/>
    <w:rsid w:val="00866B90"/>
    <w:rsid w:val="00866DAC"/>
    <w:rsid w:val="00867497"/>
    <w:rsid w:val="008678AB"/>
    <w:rsid w:val="0087018F"/>
    <w:rsid w:val="00870229"/>
    <w:rsid w:val="00870BAA"/>
    <w:rsid w:val="00870CCB"/>
    <w:rsid w:val="00870EE7"/>
    <w:rsid w:val="00871455"/>
    <w:rsid w:val="00871AA2"/>
    <w:rsid w:val="00871C00"/>
    <w:rsid w:val="00872AF6"/>
    <w:rsid w:val="0087349B"/>
    <w:rsid w:val="00874164"/>
    <w:rsid w:val="00875530"/>
    <w:rsid w:val="0087568A"/>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254"/>
    <w:rsid w:val="008D5496"/>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BAF"/>
    <w:rsid w:val="009031FB"/>
    <w:rsid w:val="00903380"/>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54D8"/>
    <w:rsid w:val="0094650E"/>
    <w:rsid w:val="0094679D"/>
    <w:rsid w:val="009505C2"/>
    <w:rsid w:val="009507F7"/>
    <w:rsid w:val="00950CA0"/>
    <w:rsid w:val="00950F62"/>
    <w:rsid w:val="0095165F"/>
    <w:rsid w:val="00951A1C"/>
    <w:rsid w:val="00951FE1"/>
    <w:rsid w:val="009525FB"/>
    <w:rsid w:val="00952A39"/>
    <w:rsid w:val="00952FFD"/>
    <w:rsid w:val="00953688"/>
    <w:rsid w:val="009543B4"/>
    <w:rsid w:val="00954449"/>
    <w:rsid w:val="00955E2A"/>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4C90"/>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846"/>
    <w:rsid w:val="00996BF2"/>
    <w:rsid w:val="009971BF"/>
    <w:rsid w:val="00997CB9"/>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114"/>
    <w:rsid w:val="009B254E"/>
    <w:rsid w:val="009B30CE"/>
    <w:rsid w:val="009B33C2"/>
    <w:rsid w:val="009B38A9"/>
    <w:rsid w:val="009B40FA"/>
    <w:rsid w:val="009B466A"/>
    <w:rsid w:val="009B46F4"/>
    <w:rsid w:val="009B4794"/>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C5C"/>
    <w:rsid w:val="00AB7DED"/>
    <w:rsid w:val="00AB7DF0"/>
    <w:rsid w:val="00AB7F6C"/>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E02A7"/>
    <w:rsid w:val="00AE0A38"/>
    <w:rsid w:val="00AE0C85"/>
    <w:rsid w:val="00AE1B79"/>
    <w:rsid w:val="00AE2639"/>
    <w:rsid w:val="00AE28CA"/>
    <w:rsid w:val="00AE29B5"/>
    <w:rsid w:val="00AE2F8C"/>
    <w:rsid w:val="00AE3D16"/>
    <w:rsid w:val="00AE40D0"/>
    <w:rsid w:val="00AE47EB"/>
    <w:rsid w:val="00AE5754"/>
    <w:rsid w:val="00AE5954"/>
    <w:rsid w:val="00AE6808"/>
    <w:rsid w:val="00AE749F"/>
    <w:rsid w:val="00AE78FA"/>
    <w:rsid w:val="00AE7D4F"/>
    <w:rsid w:val="00AF0494"/>
    <w:rsid w:val="00AF0B4B"/>
    <w:rsid w:val="00AF143B"/>
    <w:rsid w:val="00AF17E3"/>
    <w:rsid w:val="00AF23E0"/>
    <w:rsid w:val="00AF2D55"/>
    <w:rsid w:val="00AF35A2"/>
    <w:rsid w:val="00AF3CFF"/>
    <w:rsid w:val="00AF3DD6"/>
    <w:rsid w:val="00AF4E2A"/>
    <w:rsid w:val="00AF587E"/>
    <w:rsid w:val="00AF6297"/>
    <w:rsid w:val="00AF62DF"/>
    <w:rsid w:val="00AF6579"/>
    <w:rsid w:val="00AF6988"/>
    <w:rsid w:val="00AF7428"/>
    <w:rsid w:val="00AF758A"/>
    <w:rsid w:val="00AF7B56"/>
    <w:rsid w:val="00AF7D37"/>
    <w:rsid w:val="00B01B49"/>
    <w:rsid w:val="00B0268C"/>
    <w:rsid w:val="00B029EA"/>
    <w:rsid w:val="00B03C42"/>
    <w:rsid w:val="00B04886"/>
    <w:rsid w:val="00B05186"/>
    <w:rsid w:val="00B056CF"/>
    <w:rsid w:val="00B063C3"/>
    <w:rsid w:val="00B07204"/>
    <w:rsid w:val="00B076CF"/>
    <w:rsid w:val="00B10062"/>
    <w:rsid w:val="00B10176"/>
    <w:rsid w:val="00B106F8"/>
    <w:rsid w:val="00B10878"/>
    <w:rsid w:val="00B108B7"/>
    <w:rsid w:val="00B11234"/>
    <w:rsid w:val="00B119CB"/>
    <w:rsid w:val="00B11C53"/>
    <w:rsid w:val="00B12461"/>
    <w:rsid w:val="00B126AE"/>
    <w:rsid w:val="00B131F6"/>
    <w:rsid w:val="00B15137"/>
    <w:rsid w:val="00B1598F"/>
    <w:rsid w:val="00B15B16"/>
    <w:rsid w:val="00B15F7D"/>
    <w:rsid w:val="00B16607"/>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D71"/>
    <w:rsid w:val="00B37EF1"/>
    <w:rsid w:val="00B4141E"/>
    <w:rsid w:val="00B41696"/>
    <w:rsid w:val="00B41CA7"/>
    <w:rsid w:val="00B423C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6832"/>
    <w:rsid w:val="00B57CA2"/>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902E7"/>
    <w:rsid w:val="00B90CF8"/>
    <w:rsid w:val="00B90D95"/>
    <w:rsid w:val="00B91708"/>
    <w:rsid w:val="00B918D9"/>
    <w:rsid w:val="00B91F2F"/>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F0C"/>
    <w:rsid w:val="00BD279D"/>
    <w:rsid w:val="00BD3A8F"/>
    <w:rsid w:val="00BD46F2"/>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7ED"/>
    <w:rsid w:val="00BE3E9C"/>
    <w:rsid w:val="00BE444B"/>
    <w:rsid w:val="00BE504A"/>
    <w:rsid w:val="00BE5825"/>
    <w:rsid w:val="00BE5832"/>
    <w:rsid w:val="00BE63C3"/>
    <w:rsid w:val="00BE6E47"/>
    <w:rsid w:val="00BE7069"/>
    <w:rsid w:val="00BE7836"/>
    <w:rsid w:val="00BE78C2"/>
    <w:rsid w:val="00BE7A6C"/>
    <w:rsid w:val="00BF0844"/>
    <w:rsid w:val="00BF0A1C"/>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A01"/>
    <w:rsid w:val="00C1264C"/>
    <w:rsid w:val="00C12C30"/>
    <w:rsid w:val="00C12F6C"/>
    <w:rsid w:val="00C13F8C"/>
    <w:rsid w:val="00C14125"/>
    <w:rsid w:val="00C14B81"/>
    <w:rsid w:val="00C15F47"/>
    <w:rsid w:val="00C168A0"/>
    <w:rsid w:val="00C173E8"/>
    <w:rsid w:val="00C1798B"/>
    <w:rsid w:val="00C17E24"/>
    <w:rsid w:val="00C20171"/>
    <w:rsid w:val="00C2018B"/>
    <w:rsid w:val="00C20432"/>
    <w:rsid w:val="00C20F37"/>
    <w:rsid w:val="00C21441"/>
    <w:rsid w:val="00C228AD"/>
    <w:rsid w:val="00C22A16"/>
    <w:rsid w:val="00C22B1D"/>
    <w:rsid w:val="00C22E96"/>
    <w:rsid w:val="00C2357C"/>
    <w:rsid w:val="00C23641"/>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FD"/>
    <w:rsid w:val="00C35FDD"/>
    <w:rsid w:val="00C36067"/>
    <w:rsid w:val="00C36E9C"/>
    <w:rsid w:val="00C370A9"/>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FC7"/>
    <w:rsid w:val="00CA6114"/>
    <w:rsid w:val="00CB0A19"/>
    <w:rsid w:val="00CB186D"/>
    <w:rsid w:val="00CB1ABA"/>
    <w:rsid w:val="00CB1AFF"/>
    <w:rsid w:val="00CB1FDE"/>
    <w:rsid w:val="00CB220C"/>
    <w:rsid w:val="00CB254D"/>
    <w:rsid w:val="00CB304B"/>
    <w:rsid w:val="00CB31CA"/>
    <w:rsid w:val="00CB4078"/>
    <w:rsid w:val="00CB4318"/>
    <w:rsid w:val="00CB547D"/>
    <w:rsid w:val="00CB564B"/>
    <w:rsid w:val="00CB56AA"/>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CFC"/>
    <w:rsid w:val="00D00D9F"/>
    <w:rsid w:val="00D01438"/>
    <w:rsid w:val="00D0212D"/>
    <w:rsid w:val="00D021EE"/>
    <w:rsid w:val="00D0256C"/>
    <w:rsid w:val="00D02FCF"/>
    <w:rsid w:val="00D03561"/>
    <w:rsid w:val="00D03F9A"/>
    <w:rsid w:val="00D0486B"/>
    <w:rsid w:val="00D04B00"/>
    <w:rsid w:val="00D04CDF"/>
    <w:rsid w:val="00D05842"/>
    <w:rsid w:val="00D0681E"/>
    <w:rsid w:val="00D0719D"/>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E90"/>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E"/>
    <w:rsid w:val="00D91EDF"/>
    <w:rsid w:val="00D92A7E"/>
    <w:rsid w:val="00D92E93"/>
    <w:rsid w:val="00D93B05"/>
    <w:rsid w:val="00D94EE5"/>
    <w:rsid w:val="00D9539B"/>
    <w:rsid w:val="00D96339"/>
    <w:rsid w:val="00D96E46"/>
    <w:rsid w:val="00D9759B"/>
    <w:rsid w:val="00D977A1"/>
    <w:rsid w:val="00D979E9"/>
    <w:rsid w:val="00D97FB7"/>
    <w:rsid w:val="00DA05FD"/>
    <w:rsid w:val="00DA0DC5"/>
    <w:rsid w:val="00DA1CCC"/>
    <w:rsid w:val="00DA1CFA"/>
    <w:rsid w:val="00DA5562"/>
    <w:rsid w:val="00DA67B9"/>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10AA9"/>
    <w:rsid w:val="00E111CC"/>
    <w:rsid w:val="00E11CB2"/>
    <w:rsid w:val="00E122E8"/>
    <w:rsid w:val="00E12A58"/>
    <w:rsid w:val="00E12BD7"/>
    <w:rsid w:val="00E12DA6"/>
    <w:rsid w:val="00E13454"/>
    <w:rsid w:val="00E13F9B"/>
    <w:rsid w:val="00E146FA"/>
    <w:rsid w:val="00E15ADA"/>
    <w:rsid w:val="00E15AF4"/>
    <w:rsid w:val="00E169FF"/>
    <w:rsid w:val="00E16C1C"/>
    <w:rsid w:val="00E16C2D"/>
    <w:rsid w:val="00E20926"/>
    <w:rsid w:val="00E22033"/>
    <w:rsid w:val="00E22563"/>
    <w:rsid w:val="00E2261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E5"/>
    <w:rsid w:val="00E50C3D"/>
    <w:rsid w:val="00E50F1C"/>
    <w:rsid w:val="00E511F6"/>
    <w:rsid w:val="00E51605"/>
    <w:rsid w:val="00E531A4"/>
    <w:rsid w:val="00E54F5C"/>
    <w:rsid w:val="00E56152"/>
    <w:rsid w:val="00E56166"/>
    <w:rsid w:val="00E563DA"/>
    <w:rsid w:val="00E57AE1"/>
    <w:rsid w:val="00E601C3"/>
    <w:rsid w:val="00E60614"/>
    <w:rsid w:val="00E60A89"/>
    <w:rsid w:val="00E60F3F"/>
    <w:rsid w:val="00E61A80"/>
    <w:rsid w:val="00E61F03"/>
    <w:rsid w:val="00E63140"/>
    <w:rsid w:val="00E63334"/>
    <w:rsid w:val="00E63864"/>
    <w:rsid w:val="00E638E3"/>
    <w:rsid w:val="00E63C2E"/>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DCA"/>
    <w:rsid w:val="00E7346C"/>
    <w:rsid w:val="00E735BE"/>
    <w:rsid w:val="00E73711"/>
    <w:rsid w:val="00E73E3F"/>
    <w:rsid w:val="00E74417"/>
    <w:rsid w:val="00E7478F"/>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43D4"/>
    <w:rsid w:val="00E94EAA"/>
    <w:rsid w:val="00E953A1"/>
    <w:rsid w:val="00E957DE"/>
    <w:rsid w:val="00E95F3D"/>
    <w:rsid w:val="00E969E2"/>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F4C"/>
    <w:rsid w:val="00EA71E9"/>
    <w:rsid w:val="00EA76A5"/>
    <w:rsid w:val="00EB0100"/>
    <w:rsid w:val="00EB07B4"/>
    <w:rsid w:val="00EB1386"/>
    <w:rsid w:val="00EB2E70"/>
    <w:rsid w:val="00EB33BC"/>
    <w:rsid w:val="00EB44CC"/>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6985"/>
    <w:rsid w:val="00EE7D7C"/>
    <w:rsid w:val="00EF0422"/>
    <w:rsid w:val="00EF0784"/>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714"/>
    <w:rsid w:val="00F23B69"/>
    <w:rsid w:val="00F23E5D"/>
    <w:rsid w:val="00F23F70"/>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697"/>
    <w:rsid w:val="00F6477C"/>
    <w:rsid w:val="00F64C89"/>
    <w:rsid w:val="00F65442"/>
    <w:rsid w:val="00F67155"/>
    <w:rsid w:val="00F675EF"/>
    <w:rsid w:val="00F67B12"/>
    <w:rsid w:val="00F7215B"/>
    <w:rsid w:val="00F725AE"/>
    <w:rsid w:val="00F72ED7"/>
    <w:rsid w:val="00F73727"/>
    <w:rsid w:val="00F7376A"/>
    <w:rsid w:val="00F742A7"/>
    <w:rsid w:val="00F745D5"/>
    <w:rsid w:val="00F7629D"/>
    <w:rsid w:val="00F808AE"/>
    <w:rsid w:val="00F81510"/>
    <w:rsid w:val="00F825CE"/>
    <w:rsid w:val="00F83B2E"/>
    <w:rsid w:val="00F8443A"/>
    <w:rsid w:val="00F847B7"/>
    <w:rsid w:val="00F8559D"/>
    <w:rsid w:val="00F85BF5"/>
    <w:rsid w:val="00F85D31"/>
    <w:rsid w:val="00F86974"/>
    <w:rsid w:val="00F875DD"/>
    <w:rsid w:val="00F87875"/>
    <w:rsid w:val="00F90396"/>
    <w:rsid w:val="00F90A7F"/>
    <w:rsid w:val="00F90AE0"/>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EA1"/>
    <w:rsid w:val="00FE212B"/>
    <w:rsid w:val="00FE3046"/>
    <w:rsid w:val="00FE350B"/>
    <w:rsid w:val="00FE388D"/>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6C1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B2DF9-8AA0-4060-B847-C3145171F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2811</TotalTime>
  <Pages>2</Pages>
  <Words>625</Words>
  <Characters>3566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HiSilicon</cp:lastModifiedBy>
  <cp:revision>264</cp:revision>
  <dcterms:created xsi:type="dcterms:W3CDTF">2023-08-09T09:37:00Z</dcterms:created>
  <dcterms:modified xsi:type="dcterms:W3CDTF">2024-04-04T14:06:00Z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1711330074</vt:lpwstr>
  </property>
</Properties>
</file>